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80712" w14:textId="7870F232" w:rsidR="00805C96" w:rsidRPr="003C3BF2" w:rsidRDefault="00805C96" w:rsidP="005D44B4">
      <w:pPr>
        <w:widowControl w:val="0"/>
        <w:tabs>
          <w:tab w:val="left" w:pos="737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autoSpaceDE w:val="0"/>
        <w:autoSpaceDN w:val="0"/>
        <w:adjustRightInd w:val="0"/>
        <w:spacing w:after="0" w:line="240" w:lineRule="auto"/>
        <w:ind w:right="281"/>
        <w:jc w:val="both"/>
        <w:rPr>
          <w:rFonts w:ascii="Times New Roman" w:hAnsi="Times New Roman" w:cs="Times New Roman"/>
          <w:b/>
          <w:bCs/>
          <w:sz w:val="10"/>
          <w:szCs w:val="10"/>
          <w:lang w:val="nl-NL" w:eastAsia="x-none"/>
        </w:rPr>
      </w:pPr>
      <w:r w:rsidRPr="003C3BF2">
        <w:rPr>
          <w:rFonts w:ascii="Times New Roman" w:eastAsia="Times New Roman" w:hAnsi="Times New Roman" w:cs="Times New Roman"/>
          <w:i/>
          <w:iCs/>
          <w:color w:val="000000"/>
          <w:sz w:val="16"/>
          <w:szCs w:val="16"/>
          <w:lang w:val="nl-NL" w:eastAsia="x-none"/>
        </w:rPr>
        <w:t xml:space="preserve"> </w:t>
      </w:r>
      <w:r w:rsidR="008D2AC8" w:rsidRPr="003C3BF2">
        <w:rPr>
          <w:rFonts w:ascii="Times New Roman" w:hAnsi="Times New Roman" w:cs="Times New Roman"/>
          <w:b/>
          <w:bCs/>
          <w:sz w:val="26"/>
          <w:szCs w:val="26"/>
          <w:lang w:val="nl-NL" w:eastAsia="x-none"/>
        </w:rPr>
        <w:t>TOE</w:t>
      </w:r>
      <w:r w:rsidR="005D44B4" w:rsidRPr="003C3BF2">
        <w:rPr>
          <w:rFonts w:ascii="Times New Roman" w:hAnsi="Times New Roman" w:cs="Times New Roman"/>
          <w:b/>
          <w:bCs/>
          <w:sz w:val="26"/>
          <w:szCs w:val="26"/>
          <w:lang w:val="nl-NL" w:eastAsia="x-none"/>
        </w:rPr>
        <w:t>LICHTING OVER RECHTEN EN PLICHTEN</w:t>
      </w:r>
    </w:p>
    <w:p w14:paraId="65942F5A" w14:textId="77777777" w:rsidR="00805C96" w:rsidRPr="003C3BF2"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jc w:val="center"/>
        <w:rPr>
          <w:rFonts w:ascii="Times New Roman" w:hAnsi="Times New Roman" w:cs="Times New Roman"/>
          <w:b/>
          <w:bCs/>
          <w:sz w:val="18"/>
          <w:szCs w:val="18"/>
          <w:lang w:val="nl-NL" w:eastAsia="x-none"/>
        </w:rPr>
      </w:pPr>
    </w:p>
    <w:p w14:paraId="5EC1D9C0" w14:textId="77777777" w:rsidR="005D44B4" w:rsidRPr="003C3BF2" w:rsidRDefault="005D44B4" w:rsidP="00885058">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hAnsi="Times New Roman" w:cs="Times New Roman"/>
          <w:b/>
          <w:bCs/>
          <w:color w:val="000000"/>
          <w:sz w:val="21"/>
          <w:szCs w:val="21"/>
          <w:lang w:val="nl-NL" w:eastAsia="x-none"/>
        </w:rPr>
      </w:pPr>
      <w:r w:rsidRPr="003C3BF2">
        <w:rPr>
          <w:rFonts w:ascii="Times New Roman" w:hAnsi="Times New Roman" w:cs="Times New Roman"/>
          <w:b/>
          <w:bCs/>
          <w:color w:val="000000"/>
          <w:sz w:val="21"/>
          <w:szCs w:val="21"/>
          <w:lang w:val="nl-NL" w:eastAsia="x-none"/>
        </w:rPr>
        <w:t>De partij heeft het recht om binnen …… dagen na de datum van uitspraak van het vonnis een verzoek in te dienen om de motivering van het vonnis schriftelijk op te stellen en te doen toekomen. Een verdachte in hechtenis die geen verdediger heeft en – ondanks het indienen van een verzoek om hem naar de zitting te brengen waarop het vonnis werd uitgesproken – niet aanwezig was bij de uitspraak van het vonnis, heeft het recht om binnen 7 dagen na de datum van betekening van het vonnis een verzoek in te dienen om de motivering van het vonnis schriftelijk op te stellen en te betekenen.</w:t>
      </w:r>
    </w:p>
    <w:p w14:paraId="1FB677A8" w14:textId="77777777" w:rsidR="00486138" w:rsidRPr="003C3BF2" w:rsidRDefault="00486138" w:rsidP="00486138">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jc w:val="both"/>
        <w:rPr>
          <w:rFonts w:ascii="Times New Roman" w:eastAsia="Times New Roman" w:hAnsi="Times New Roman" w:cs="Times New Roman"/>
          <w:color w:val="000000"/>
          <w:sz w:val="20"/>
          <w:szCs w:val="20"/>
          <w:lang w:val="nl-NL" w:eastAsia="x-none"/>
        </w:rPr>
      </w:pPr>
      <w:r w:rsidRPr="003C3BF2">
        <w:rPr>
          <w:rFonts w:ascii="Times New Roman" w:hAnsi="Times New Roman" w:cs="Times New Roman"/>
          <w:color w:val="000000"/>
          <w:sz w:val="20"/>
          <w:szCs w:val="20"/>
          <w:lang w:val="nl-NL" w:eastAsia="x-none"/>
        </w:rPr>
        <w:t>Het feit dat de motivering ambtshalve wordt opgesteld, ontslaat de partij niet van de verplichting om een verzoek tot toezending van de motivering in te dienen. Het verzoek dient schriftelijk te worden ingediend, met vermelding van:</w:t>
      </w:r>
    </w:p>
    <w:p w14:paraId="161496A4" w14:textId="7586BF2C" w:rsidR="00486138" w:rsidRPr="003C3BF2" w:rsidRDefault="00486138"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nl-NL" w:eastAsia="x-none"/>
        </w:rPr>
      </w:pPr>
      <w:r w:rsidRPr="003C3BF2">
        <w:rPr>
          <w:rFonts w:ascii="Times New Roman" w:eastAsia="Times New Roman" w:hAnsi="Times New Roman" w:cs="Times New Roman"/>
          <w:color w:val="000000"/>
          <w:sz w:val="20"/>
          <w:szCs w:val="20"/>
          <w:lang w:val="nl-NL" w:eastAsia="x-none"/>
        </w:rPr>
        <w:t>1)  de vermelding van de instantie waaraan het is gericht, en de zaak waarop het betrekking heeft;</w:t>
      </w:r>
    </w:p>
    <w:p w14:paraId="29080C65" w14:textId="06E0C9EB" w:rsidR="00486138" w:rsidRPr="003C3BF2" w:rsidRDefault="00805C96"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sz w:val="20"/>
          <w:szCs w:val="20"/>
          <w:lang w:val="nl-NL" w:eastAsia="x-none"/>
        </w:rPr>
      </w:pPr>
      <w:r w:rsidRPr="003C3BF2">
        <w:rPr>
          <w:rFonts w:ascii="Times New Roman" w:eastAsia="Times New Roman" w:hAnsi="Times New Roman" w:cs="Times New Roman"/>
          <w:color w:val="000000"/>
          <w:sz w:val="20"/>
          <w:szCs w:val="20"/>
          <w:lang w:val="nl-NL" w:eastAsia="x-none"/>
        </w:rPr>
        <w:t>2)</w:t>
      </w:r>
      <w:r w:rsidRPr="003C3BF2">
        <w:rPr>
          <w:rFonts w:ascii="Times New Roman" w:hAnsi="Times New Roman" w:cs="Times New Roman"/>
          <w:color w:val="000000"/>
          <w:sz w:val="20"/>
          <w:szCs w:val="20"/>
          <w:lang w:val="nl-NL" w:eastAsia="x-none"/>
        </w:rPr>
        <w:t>  </w:t>
      </w:r>
      <w:r w:rsidRPr="003C3BF2">
        <w:rPr>
          <w:rFonts w:ascii="Times New Roman" w:eastAsia="Times New Roman" w:hAnsi="Times New Roman" w:cs="Times New Roman"/>
          <w:sz w:val="20"/>
          <w:szCs w:val="20"/>
          <w:lang w:val="nl-NL" w:eastAsia="x-none"/>
        </w:rPr>
        <w:t xml:space="preserve"> </w:t>
      </w:r>
      <w:r w:rsidR="00486138" w:rsidRPr="003C3BF2">
        <w:rPr>
          <w:rFonts w:ascii="Times New Roman" w:eastAsia="Times New Roman" w:hAnsi="Times New Roman" w:cs="Times New Roman"/>
          <w:sz w:val="20"/>
          <w:szCs w:val="20"/>
          <w:lang w:val="nl-NL" w:eastAsia="x-none"/>
        </w:rPr>
        <w:t>de naam en het adres van de indiener van het schrijven, alsmede – in het eerste schrijven dat in de zaak wordt ingediend – het telefoonnummer, faxnummer en e-mailadres of een verklaring dat hij/zij hierover niet beschikt;</w:t>
      </w:r>
    </w:p>
    <w:p w14:paraId="7643C4AC" w14:textId="77777777" w:rsidR="00616FA7" w:rsidRPr="003C3BF2" w:rsidRDefault="00805C96" w:rsidP="00885058">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hAnsi="Times New Roman" w:cs="Times New Roman"/>
          <w:color w:val="000000"/>
          <w:sz w:val="20"/>
          <w:szCs w:val="20"/>
          <w:lang w:val="nl-NL" w:eastAsia="x-none"/>
        </w:rPr>
      </w:pPr>
      <w:r w:rsidRPr="003C3BF2">
        <w:rPr>
          <w:rFonts w:ascii="Times New Roman" w:hAnsi="Times New Roman" w:cs="Times New Roman"/>
          <w:color w:val="000000"/>
          <w:sz w:val="20"/>
          <w:szCs w:val="20"/>
          <w:lang w:val="nl-NL" w:eastAsia="x-none"/>
        </w:rPr>
        <w:t>3)  </w:t>
      </w:r>
      <w:r w:rsidR="00616FA7" w:rsidRPr="003C3BF2">
        <w:rPr>
          <w:rFonts w:ascii="Times New Roman" w:hAnsi="Times New Roman" w:cs="Times New Roman"/>
          <w:color w:val="000000"/>
          <w:sz w:val="20"/>
          <w:szCs w:val="20"/>
          <w:lang w:val="nl-NL" w:eastAsia="x-none"/>
        </w:rPr>
        <w:t>de inhoud van het verzoek, of het betrekking heeft op het gehele vonnis of op bepaalde feiten waarvan de aanklager de verdachte beschuldigt, dan wel uitsluitend op de strafmaat en andere juridische gevolgen van het feit, alsmede de identificatie van de verdachte wanneer het verzoek niet afkomstig is van de verdachte;</w:t>
      </w:r>
    </w:p>
    <w:p w14:paraId="6F028F98" w14:textId="77777777" w:rsidR="00616FA7" w:rsidRPr="003C3BF2" w:rsidRDefault="00805C96" w:rsidP="00616FA7">
      <w:pPr>
        <w:widowControl w:val="0"/>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hAnsi="Times New Roman" w:cs="Times New Roman"/>
          <w:color w:val="000000"/>
          <w:sz w:val="20"/>
          <w:szCs w:val="20"/>
          <w:lang w:val="nl-NL" w:eastAsia="x-none"/>
        </w:rPr>
      </w:pPr>
      <w:r w:rsidRPr="003C3BF2">
        <w:rPr>
          <w:rFonts w:ascii="Times New Roman" w:eastAsia="Times New Roman" w:hAnsi="Times New Roman" w:cs="Times New Roman"/>
          <w:color w:val="000000"/>
          <w:sz w:val="20"/>
          <w:szCs w:val="20"/>
          <w:lang w:val="nl-NL" w:eastAsia="x-none"/>
        </w:rPr>
        <w:t>4)</w:t>
      </w:r>
      <w:r w:rsidRPr="003C3BF2">
        <w:rPr>
          <w:rFonts w:ascii="Times New Roman" w:hAnsi="Times New Roman" w:cs="Times New Roman"/>
          <w:color w:val="000000"/>
          <w:sz w:val="20"/>
          <w:szCs w:val="20"/>
          <w:lang w:val="nl-NL" w:eastAsia="x-none"/>
        </w:rPr>
        <w:t>  </w:t>
      </w:r>
      <w:r w:rsidR="00616FA7" w:rsidRPr="003C3BF2">
        <w:rPr>
          <w:rFonts w:ascii="Times New Roman" w:hAnsi="Times New Roman" w:cs="Times New Roman"/>
          <w:color w:val="000000"/>
          <w:sz w:val="20"/>
          <w:szCs w:val="20"/>
          <w:lang w:val="nl-NL" w:eastAsia="x-none"/>
        </w:rPr>
        <w:t>de datum en de handtekening van de indiener van het schrijven (voor iemand die niet in staat is te tekenen, wordt het schrijven ondertekend door een door hem of haar gemachtigde persoon, met vermelding van de reden voor het plaatsen van diens handtekening).</w:t>
      </w:r>
    </w:p>
    <w:p w14:paraId="5CF11B26" w14:textId="77777777" w:rsidR="00E86B5A" w:rsidRPr="003C3BF2" w:rsidRDefault="00E86B5A" w:rsidP="00E86B5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hAnsi="Times New Roman" w:cs="Times New Roman"/>
          <w:b/>
          <w:bCs/>
          <w:color w:val="000000"/>
          <w:sz w:val="20"/>
          <w:szCs w:val="20"/>
          <w:lang w:val="nl-NL" w:eastAsia="x-none"/>
        </w:rPr>
      </w:pPr>
      <w:r w:rsidRPr="003C3BF2">
        <w:rPr>
          <w:rFonts w:ascii="Times New Roman" w:hAnsi="Times New Roman" w:cs="Times New Roman"/>
          <w:b/>
          <w:bCs/>
          <w:color w:val="000000"/>
          <w:sz w:val="20"/>
          <w:szCs w:val="20"/>
          <w:lang w:val="nl-NL" w:eastAsia="x-none"/>
        </w:rPr>
        <w:t>Een verzoek dat is ingediend door een onbevoegde persoon, te laat is ingediend of waarvan de formele tekortkomingen niet tijdig door de indiener zijn verholpen, wordt niet in behandeling genomen (art. 119, art. 422, lid 1, § 2 en § 3) 2).</w:t>
      </w:r>
    </w:p>
    <w:p w14:paraId="28AB7B3D" w14:textId="77777777" w:rsidR="00E86B5A" w:rsidRPr="003C3BF2" w:rsidRDefault="00E86B5A" w:rsidP="00E86B5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hAnsi="Times New Roman" w:cs="Times New Roman"/>
          <w:b/>
          <w:bCs/>
          <w:color w:val="000000"/>
          <w:sz w:val="20"/>
          <w:szCs w:val="20"/>
          <w:lang w:val="nl-NL" w:eastAsia="x-none"/>
        </w:rPr>
      </w:pPr>
      <w:r w:rsidRPr="003C3BF2">
        <w:rPr>
          <w:rFonts w:ascii="Times New Roman" w:hAnsi="Times New Roman" w:cs="Times New Roman"/>
          <w:b/>
          <w:bCs/>
          <w:color w:val="000000"/>
          <w:sz w:val="20"/>
          <w:szCs w:val="20"/>
          <w:lang w:val="nl-NL" w:eastAsia="x-none"/>
        </w:rPr>
        <w:t xml:space="preserve">        Tegen het vonnis van de rechtbank van eerste aanleg kunnen de partijen en de veroordeelde in beroep gaan (art. 444).</w:t>
      </w:r>
    </w:p>
    <w:p w14:paraId="0D023108" w14:textId="77777777" w:rsidR="00E86B5A" w:rsidRPr="003C3BF2" w:rsidRDefault="00E86B5A" w:rsidP="00E86B5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360" w:lineRule="auto"/>
        <w:ind w:firstLine="482"/>
        <w:jc w:val="both"/>
        <w:rPr>
          <w:rFonts w:ascii="Times New Roman" w:hAnsi="Times New Roman" w:cs="Times New Roman"/>
          <w:b/>
          <w:bCs/>
          <w:color w:val="000000"/>
          <w:sz w:val="20"/>
          <w:szCs w:val="20"/>
          <w:lang w:val="nl-NL" w:eastAsia="x-none"/>
        </w:rPr>
      </w:pPr>
      <w:r w:rsidRPr="003C3BF2">
        <w:rPr>
          <w:rFonts w:ascii="Times New Roman" w:hAnsi="Times New Roman" w:cs="Times New Roman"/>
          <w:b/>
          <w:bCs/>
          <w:color w:val="000000"/>
          <w:sz w:val="20"/>
          <w:szCs w:val="20"/>
          <w:lang w:val="nl-NL" w:eastAsia="x-none"/>
        </w:rPr>
        <w:t>Het beroep wordt schriftelijk ingesteld bij de rechtbank die het bestreden vonnis heeft gewezen, binnen 14 dagen na de datum van betekening van het vonnis met de motivering (art. 428 § 1, art. 445 § 1).</w:t>
      </w:r>
    </w:p>
    <w:p w14:paraId="35D6B7C8" w14:textId="3B60EF34" w:rsidR="00A20CC2" w:rsidRPr="003C3BF2" w:rsidRDefault="00A20CC2" w:rsidP="00A20CC2">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color w:val="000000"/>
          <w:sz w:val="20"/>
          <w:szCs w:val="20"/>
          <w:lang w:val="nl-NL" w:eastAsia="x-none"/>
        </w:rPr>
      </w:pPr>
      <w:r w:rsidRPr="003C3BF2">
        <w:rPr>
          <w:lang w:val="nl-NL"/>
        </w:rPr>
        <w:t xml:space="preserve"> </w:t>
      </w:r>
      <w:r w:rsidRPr="003C3BF2">
        <w:rPr>
          <w:rFonts w:ascii="Times New Roman" w:hAnsi="Times New Roman" w:cs="Times New Roman"/>
          <w:color w:val="000000"/>
          <w:sz w:val="20"/>
          <w:szCs w:val="20"/>
          <w:lang w:val="nl-NL" w:eastAsia="x-none"/>
        </w:rPr>
        <w:t>Een beroep tegen de schuldvraag wordt geacht te zijn ingesteld tegen het gehele vonnis, en een beroep tegen de straf wordt geacht te zijn ingesteld tegen de gehele beslissing inzake de straf en de strafmaatregelen. Een beroep tegen een strafmaatregel, een compensatiemaatregel of een verbeurdverklaring wordt daarentegen geacht te zijn ingesteld tegen respectievelijk de gehele beslissing inzake strafmaatregelen, compensatiemaatregelen of verbeurdverklaring (art. 447 § 1-3).</w:t>
      </w:r>
    </w:p>
    <w:p w14:paraId="09554DCC" w14:textId="77777777" w:rsidR="00A20CC2" w:rsidRPr="003C3BF2" w:rsidRDefault="00A20CC2" w:rsidP="00A20CC2">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color w:val="000000"/>
          <w:sz w:val="20"/>
          <w:szCs w:val="20"/>
          <w:lang w:val="nl-NL" w:eastAsia="x-none"/>
        </w:rPr>
      </w:pPr>
      <w:r w:rsidRPr="003C3BF2">
        <w:rPr>
          <w:rFonts w:ascii="Times New Roman" w:hAnsi="Times New Roman" w:cs="Times New Roman"/>
          <w:color w:val="000000"/>
          <w:sz w:val="20"/>
          <w:szCs w:val="20"/>
          <w:lang w:val="nl-NL" w:eastAsia="x-none"/>
        </w:rPr>
        <w:t>In het beroep kunnen gronden worden aangevoerd die geen voorwerp van de klacht vormden of konden vormen (art. 447 § 4).</w:t>
      </w:r>
    </w:p>
    <w:p w14:paraId="3ACC58DE" w14:textId="2896524B" w:rsidR="00805C96" w:rsidRPr="003C3BF2" w:rsidRDefault="00A20CC2" w:rsidP="00A20CC2">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position w:val="5"/>
          <w:sz w:val="20"/>
          <w:szCs w:val="20"/>
          <w:lang w:val="nl-NL" w:eastAsia="x-none"/>
        </w:rPr>
      </w:pPr>
      <w:r w:rsidRPr="003C3BF2">
        <w:rPr>
          <w:rFonts w:ascii="Times New Roman" w:hAnsi="Times New Roman" w:cs="Times New Roman"/>
          <w:color w:val="000000"/>
          <w:sz w:val="20"/>
          <w:szCs w:val="20"/>
          <w:lang w:val="nl-NL" w:eastAsia="x-none"/>
        </w:rPr>
        <w:t xml:space="preserve">Een beroep kan niet worden ingesteld op grond van een fout in de feitelijke vaststellingen waarop de uitspraak is gebaseerd, indien deze van invloed kon zijn op de inhoud van die uitspraak, noch op grond van een flagrante onevenredigheid van de straf, de strafmaatregel, de boete of de onterechte toepassing of niet-toepassing van een veiligheidsmaatregel, verbeurdverklaring of een andere maatregel, in verband met de inhoud van de gesloten overeenkomst inzake het uitspreken van een veroordeling, het opleggen van een bepaalde straf of </w:t>
      </w:r>
      <w:r w:rsidRPr="003C3BF2">
        <w:rPr>
          <w:rFonts w:ascii="Times New Roman" w:hAnsi="Times New Roman" w:cs="Times New Roman"/>
          <w:color w:val="000000"/>
          <w:sz w:val="20"/>
          <w:szCs w:val="20"/>
          <w:lang w:val="nl-NL" w:eastAsia="x-none"/>
        </w:rPr>
        <w:lastRenderedPageBreak/>
        <w:t>strafmaatregel, de uitspraak inzake verbeurdverklaring of een compensatiemaatregel, of de beslissing inzake de proceskosten (art. 447 § 5).</w:t>
      </w:r>
    </w:p>
    <w:p w14:paraId="487DC530" w14:textId="77777777" w:rsidR="005C06E9" w:rsidRPr="003C3BF2" w:rsidRDefault="005C06E9" w:rsidP="00885058">
      <w:pPr>
        <w:widowControl w:val="0"/>
        <w:tabs>
          <w:tab w:val="left" w:pos="360"/>
          <w:tab w:val="left" w:pos="5670"/>
          <w:tab w:val="left" w:pos="7380"/>
          <w:tab w:val="left" w:pos="7788"/>
          <w:tab w:val="left" w:pos="8496"/>
          <w:tab w:val="left" w:pos="9204"/>
          <w:tab w:val="left" w:pos="9912"/>
          <w:tab w:val="left" w:pos="10620"/>
          <w:tab w:val="left" w:pos="11328"/>
          <w:tab w:val="left" w:pos="12036"/>
          <w:tab w:val="left" w:pos="12744"/>
          <w:tab w:val="left" w:pos="13452"/>
          <w:tab w:val="left" w:pos="14160"/>
          <w:tab w:val="left" w:pos="14868"/>
        </w:tabs>
        <w:autoSpaceDE w:val="0"/>
        <w:autoSpaceDN w:val="0"/>
        <w:adjustRightInd w:val="0"/>
        <w:spacing w:after="0" w:line="360" w:lineRule="auto"/>
        <w:ind w:firstLine="482"/>
        <w:jc w:val="both"/>
        <w:rPr>
          <w:rFonts w:ascii="Times New Roman" w:hAnsi="Times New Roman" w:cs="Times New Roman"/>
          <w:color w:val="000000"/>
          <w:sz w:val="20"/>
          <w:szCs w:val="20"/>
          <w:lang w:val="nl-NL" w:eastAsia="x-none"/>
        </w:rPr>
      </w:pPr>
      <w:r w:rsidRPr="003C3BF2">
        <w:rPr>
          <w:rFonts w:ascii="Times New Roman" w:hAnsi="Times New Roman" w:cs="Times New Roman"/>
          <w:color w:val="000000"/>
          <w:sz w:val="20"/>
          <w:szCs w:val="20"/>
          <w:lang w:val="nl-NL" w:eastAsia="x-none"/>
        </w:rPr>
        <w:t>Een beroep kan niet uitsluitend worden gebaseerd op gronden die zouden kunnen worden behandeld in het kader van de correctie van een schrijf- of rekenfout, de berekening van termijnen in het vonnis of de motivering daarvan, de beslissing inzake verbeurdverklaring, de verrekening van de daadwerkelijk doorgebrachte gevangenisstraf, de periode van intrekking van het rijbewijs of een ander relevant document, of de periode van schorsing van de verdachte in zijn dienstbetrekking of beroepsuitoefening, of het opleggen van een verbod op bepaalde activiteiten of het besturen van bepaalde soorten voertuigen, of het verbieden van het meedingen naar overheidsopdrachten voor de duur van de procedure, het opleggen van de verplichting tot teruggave van het rijbewijs of van bewijsstukken, en in het kader van de beslissing over de proceskosten (art. 447§ 6).</w:t>
      </w:r>
    </w:p>
    <w:p w14:paraId="4544BDC3" w14:textId="77777777" w:rsidR="00971297" w:rsidRPr="003C3BF2" w:rsidRDefault="00971297" w:rsidP="00885058">
      <w:pPr>
        <w:widowControl w:val="0"/>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hAnsi="Times New Roman" w:cs="Times New Roman"/>
          <w:b/>
          <w:bCs/>
          <w:sz w:val="20"/>
          <w:szCs w:val="20"/>
          <w:lang w:val="nl-NL" w:eastAsia="x-none"/>
        </w:rPr>
      </w:pPr>
      <w:r w:rsidRPr="003C3BF2">
        <w:rPr>
          <w:rFonts w:ascii="Times New Roman" w:hAnsi="Times New Roman" w:cs="Times New Roman"/>
          <w:b/>
          <w:bCs/>
          <w:sz w:val="20"/>
          <w:szCs w:val="20"/>
          <w:lang w:val="nl-NL" w:eastAsia="x-none"/>
        </w:rPr>
        <w:t>Een beroep dat te laat wordt ingesteld, door een onbevoegde persoon wordt ingesteld of op grond van de wet niet-ontvankelijk is, wordt niet in behandeling genomen (art. 429, § 1).</w:t>
      </w:r>
    </w:p>
    <w:p w14:paraId="517912DE" w14:textId="77777777" w:rsidR="00E707EC" w:rsidRPr="003C3BF2" w:rsidRDefault="00805C96" w:rsidP="00E707EC">
      <w:pPr>
        <w:widowControl w:val="0"/>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hAnsi="Times New Roman" w:cs="Times New Roman"/>
          <w:color w:val="000000"/>
          <w:sz w:val="20"/>
          <w:szCs w:val="20"/>
          <w:lang w:val="nl-NL" w:eastAsia="x-none"/>
        </w:rPr>
      </w:pPr>
      <w:r w:rsidRPr="003C3BF2">
        <w:rPr>
          <w:rFonts w:ascii="Times New Roman" w:eastAsia="Times New Roman" w:hAnsi="Times New Roman" w:cs="Times New Roman"/>
          <w:sz w:val="20"/>
          <w:szCs w:val="20"/>
          <w:lang w:val="nl-NL" w:eastAsia="x-none"/>
        </w:rPr>
        <w:tab/>
      </w:r>
      <w:r w:rsidR="00E707EC" w:rsidRPr="003C3BF2">
        <w:rPr>
          <w:rFonts w:ascii="Times New Roman" w:hAnsi="Times New Roman" w:cs="Times New Roman"/>
          <w:color w:val="000000"/>
          <w:sz w:val="20"/>
          <w:szCs w:val="20"/>
          <w:lang w:val="nl-NL" w:eastAsia="x-none"/>
        </w:rPr>
        <w:t>De verdachte heeft het recht om bij het opstellen van het beroep een beroep te doen op de hulp van een door hemzelf aangewezen verdedigingsadvocaat, en een andere partij dan de verdachte kan een gemachtigde aanwijzen. Totdat de verdachte die in hechtenis zit een verdedigingsadvocaat heeft aangewezen, kan een andere persoon een verdedigingsadvocaat aanwijzen. Een beroep tegen een vonnis van de regionale rechtbank dat niet door de officier van justitie wordt ingesteld, moet worden opgesteld en ondertekend door een advocaat, een juridisch adviseur of een adviseur van de Prokuratoria Generalna van de Republiek Polen. De kosten in verband met de aanstelling van een verdediger of een gemachtigde komen ten laste van de partij die hem heeft aangesteld (art. 6, art. 83 § 1, art. 87 § 1, art. 446 § 1, art. 620).</w:t>
      </w:r>
    </w:p>
    <w:p w14:paraId="599CA5D8" w14:textId="77777777" w:rsidR="00E707EC" w:rsidRPr="003C3BF2" w:rsidRDefault="00E707EC" w:rsidP="00E707EC">
      <w:pPr>
        <w:widowControl w:val="0"/>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hAnsi="Times New Roman" w:cs="Times New Roman"/>
          <w:color w:val="000000"/>
          <w:sz w:val="20"/>
          <w:szCs w:val="20"/>
          <w:lang w:val="nl-NL" w:eastAsia="x-none"/>
        </w:rPr>
      </w:pPr>
      <w:r w:rsidRPr="003C3BF2">
        <w:rPr>
          <w:rFonts w:ascii="Times New Roman" w:hAnsi="Times New Roman" w:cs="Times New Roman"/>
          <w:color w:val="000000"/>
          <w:sz w:val="20"/>
          <w:szCs w:val="20"/>
          <w:lang w:val="nl-NL" w:eastAsia="x-none"/>
        </w:rPr>
        <w:t>Indien een partij geen raadsman of gemachtigde naar keuze heeft, kan zij verzoeken om de aanwijzing van een raadsman of gemachtigde ambtshalve, onder meer voor het verrichten van een bepaalde handeling, indien zij op de juiste wijze aantoont dat zij niet in staat is de kosten van het aanstellen van een raadsman of gemachtigde naar keuze te dragen zonder afbreuk te doen aan het noodzakelijke levensonderhoud voor zichzelf en haar gezin. Er wordt dan ambtshalve een vertegenwoordiger aangewezen uit de lijst van vertegenwoordigers. De aanwijzing van een ambtshalve vertegenwoordiger kan worden ingetrokken indien blijkt dat de omstandigheden op grond waarvan hij is aangewezen, niet bestaan (art. 78 en art. 81a § 1 juncto art. 88 § 1, tweede zin).</w:t>
      </w:r>
    </w:p>
    <w:p w14:paraId="201332B3" w14:textId="77777777" w:rsidR="00DF76AF" w:rsidRPr="003C3BF2" w:rsidRDefault="00805C96" w:rsidP="00DF76AF">
      <w:pPr>
        <w:widowControl w:val="0"/>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color w:val="000000"/>
          <w:sz w:val="20"/>
          <w:szCs w:val="20"/>
          <w:lang w:val="nl-NL" w:eastAsia="x-none"/>
        </w:rPr>
      </w:pPr>
      <w:r w:rsidRPr="003C3BF2">
        <w:rPr>
          <w:rFonts w:ascii="Times New Roman" w:eastAsia="Times New Roman" w:hAnsi="Times New Roman" w:cs="Times New Roman"/>
          <w:color w:val="000000"/>
          <w:sz w:val="20"/>
          <w:szCs w:val="20"/>
          <w:lang w:val="nl-NL" w:eastAsia="x-none"/>
        </w:rPr>
        <w:t xml:space="preserve"> </w:t>
      </w:r>
      <w:r w:rsidR="00DF76AF" w:rsidRPr="003C3BF2">
        <w:rPr>
          <w:rFonts w:ascii="Times New Roman" w:eastAsia="Times New Roman" w:hAnsi="Times New Roman" w:cs="Times New Roman"/>
          <w:color w:val="000000"/>
          <w:sz w:val="20"/>
          <w:szCs w:val="20"/>
          <w:lang w:val="nl-NL" w:eastAsia="x-none"/>
        </w:rPr>
        <w:t>De deelname van een verdediger aan de procedure sluit niet uit dat de verdachte zelf in de procedure optreedt, en de deelname van een gemachtigde sluit niet uit dat een andere partij dan de verdachte zelf in de procedure optreedt (art. 86, § 2, juncto art. 88, § 1, tweede zin).</w:t>
      </w:r>
    </w:p>
    <w:p w14:paraId="33D5D815" w14:textId="77777777" w:rsidR="0012264C" w:rsidRPr="003C3BF2" w:rsidRDefault="00DF76AF" w:rsidP="0012264C">
      <w:pPr>
        <w:widowControl w:val="0"/>
        <w:tabs>
          <w:tab w:val="left" w:pos="426"/>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lang w:val="nl-NL"/>
        </w:rPr>
      </w:pPr>
      <w:r w:rsidRPr="003C3BF2">
        <w:rPr>
          <w:rFonts w:ascii="Times New Roman" w:eastAsia="Times New Roman" w:hAnsi="Times New Roman" w:cs="Times New Roman"/>
          <w:color w:val="000000"/>
          <w:sz w:val="20"/>
          <w:szCs w:val="20"/>
          <w:lang w:val="nl-NL" w:eastAsia="x-none"/>
        </w:rPr>
        <w:t>De dag vanaf welke de betreffende termijn wordt gerekend, wordt niet meegerekend bij de berekening van de hierboven genoemde termijnen. Indien het einde van deze termijn valt op een dag die bij wet als vrije dag is aangemerkt of op een zaterdag, kan de handeling worden verricht op de volgende dag die geen vrije dag of zaterdag is (art. 123 § 1 en § 3). De termijn is in acht genomen indien vóór het verstrijken ervan het verzoek om een schriftelijke motivering of het beroep rechtstreeks bij de rechtbank wordt ingediend, of:</w:t>
      </w:r>
      <w:r w:rsidR="0012264C" w:rsidRPr="003C3BF2">
        <w:rPr>
          <w:lang w:val="nl-NL"/>
        </w:rPr>
        <w:t xml:space="preserve"> </w:t>
      </w:r>
    </w:p>
    <w:p w14:paraId="04E6B2F5" w14:textId="77777777" w:rsidR="0012264C" w:rsidRPr="003C3BF2" w:rsidRDefault="0012264C" w:rsidP="0012264C">
      <w:pPr>
        <w:widowControl w:val="0"/>
        <w:tabs>
          <w:tab w:val="left" w:pos="426"/>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sz w:val="20"/>
          <w:szCs w:val="20"/>
          <w:lang w:val="nl-NL" w:eastAsia="x-none"/>
        </w:rPr>
      </w:pPr>
      <w:r w:rsidRPr="003C3BF2">
        <w:rPr>
          <w:rFonts w:ascii="Times New Roman" w:eastAsia="Times New Roman" w:hAnsi="Times New Roman" w:cs="Times New Roman"/>
          <w:sz w:val="20"/>
          <w:szCs w:val="20"/>
          <w:lang w:val="nl-NL" w:eastAsia="x-none"/>
        </w:rPr>
        <w:t>1)afgegeven bij een vestiging van een entiteit die zich bezighoudt met de bezorging van post binnen de Europese Unie;</w:t>
      </w:r>
    </w:p>
    <w:p w14:paraId="0EAA93FE" w14:textId="77777777" w:rsidR="0012264C" w:rsidRPr="003C3BF2" w:rsidRDefault="0012264C" w:rsidP="0012264C">
      <w:pPr>
        <w:widowControl w:val="0"/>
        <w:tabs>
          <w:tab w:val="left" w:pos="426"/>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sz w:val="20"/>
          <w:szCs w:val="20"/>
          <w:lang w:val="nl-NL" w:eastAsia="x-none"/>
        </w:rPr>
      </w:pPr>
      <w:r w:rsidRPr="003C3BF2">
        <w:rPr>
          <w:rFonts w:ascii="Times New Roman" w:eastAsia="Times New Roman" w:hAnsi="Times New Roman" w:cs="Times New Roman"/>
          <w:sz w:val="20"/>
          <w:szCs w:val="20"/>
          <w:lang w:val="nl-NL" w:eastAsia="x-none"/>
        </w:rPr>
        <w:t>2)</w:t>
      </w:r>
      <w:r w:rsidRPr="003C3BF2">
        <w:rPr>
          <w:lang w:val="nl-NL"/>
        </w:rPr>
        <w:t xml:space="preserve"> </w:t>
      </w:r>
      <w:r w:rsidRPr="003C3BF2">
        <w:rPr>
          <w:rFonts w:ascii="Times New Roman" w:eastAsia="Times New Roman" w:hAnsi="Times New Roman" w:cs="Times New Roman"/>
          <w:sz w:val="20"/>
          <w:szCs w:val="20"/>
          <w:lang w:val="nl-NL" w:eastAsia="x-none"/>
        </w:rPr>
        <w:t>afgegeven door een Pools consulaat;</w:t>
      </w:r>
    </w:p>
    <w:p w14:paraId="28AC2641" w14:textId="77777777" w:rsidR="0012264C" w:rsidRPr="003C3BF2" w:rsidRDefault="0012264C" w:rsidP="0012264C">
      <w:pPr>
        <w:widowControl w:val="0"/>
        <w:tabs>
          <w:tab w:val="left" w:pos="426"/>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sz w:val="20"/>
          <w:szCs w:val="20"/>
          <w:lang w:val="nl-NL" w:eastAsia="x-none"/>
        </w:rPr>
      </w:pPr>
      <w:r w:rsidRPr="003C3BF2">
        <w:rPr>
          <w:rFonts w:ascii="Times New Roman" w:eastAsia="Times New Roman" w:hAnsi="Times New Roman" w:cs="Times New Roman"/>
          <w:sz w:val="20"/>
          <w:szCs w:val="20"/>
          <w:lang w:val="nl-NL" w:eastAsia="x-none"/>
        </w:rPr>
        <w:t>3)</w:t>
      </w:r>
      <w:r w:rsidRPr="003C3BF2">
        <w:rPr>
          <w:lang w:val="nl-NL"/>
        </w:rPr>
        <w:t xml:space="preserve"> </w:t>
      </w:r>
      <w:r w:rsidRPr="003C3BF2">
        <w:rPr>
          <w:rFonts w:ascii="Times New Roman" w:eastAsia="Times New Roman" w:hAnsi="Times New Roman" w:cs="Times New Roman"/>
          <w:sz w:val="20"/>
          <w:szCs w:val="20"/>
          <w:lang w:val="nl-NL" w:eastAsia="x-none"/>
        </w:rPr>
        <w:t>ingediend door een militair, met uitzondering van een militair die op afroep in de territoriale dienst zit,                             bij het commando van de militaire eenheid;</w:t>
      </w:r>
    </w:p>
    <w:p w14:paraId="53948BB8" w14:textId="77777777" w:rsidR="00E765D5" w:rsidRPr="003C3BF2" w:rsidRDefault="0012264C" w:rsidP="00965082">
      <w:pPr>
        <w:widowControl w:val="0"/>
        <w:tabs>
          <w:tab w:val="left" w:pos="426"/>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sz w:val="20"/>
          <w:szCs w:val="20"/>
          <w:lang w:val="nl-NL" w:eastAsia="x-none"/>
        </w:rPr>
      </w:pPr>
      <w:r w:rsidRPr="003C3BF2">
        <w:rPr>
          <w:rFonts w:ascii="Times New Roman" w:eastAsia="Times New Roman" w:hAnsi="Times New Roman" w:cs="Times New Roman"/>
          <w:sz w:val="20"/>
          <w:szCs w:val="20"/>
          <w:lang w:val="nl-NL" w:eastAsia="x-none"/>
        </w:rPr>
        <w:lastRenderedPageBreak/>
        <w:t>4)</w:t>
      </w:r>
      <w:r w:rsidR="00965082" w:rsidRPr="003C3BF2">
        <w:rPr>
          <w:lang w:val="nl-NL"/>
        </w:rPr>
        <w:t xml:space="preserve"> </w:t>
      </w:r>
      <w:r w:rsidR="00965082" w:rsidRPr="003C3BF2">
        <w:rPr>
          <w:rFonts w:ascii="Times New Roman" w:eastAsia="Times New Roman" w:hAnsi="Times New Roman" w:cs="Times New Roman"/>
          <w:sz w:val="20"/>
          <w:szCs w:val="20"/>
          <w:lang w:val="nl-NL" w:eastAsia="x-none"/>
        </w:rPr>
        <w:t>ingediend door een tot vrijheidsbeneming veroordeelde persoon bij de administratie van de betreffende inrichting;</w:t>
      </w:r>
    </w:p>
    <w:p w14:paraId="61C7890C" w14:textId="4DFAB748" w:rsidR="00805C96" w:rsidRPr="003C3BF2" w:rsidRDefault="0012264C" w:rsidP="00E765D5">
      <w:pPr>
        <w:widowControl w:val="0"/>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eastAsia="Times New Roman" w:hAnsi="Times New Roman" w:cs="Times New Roman"/>
          <w:sz w:val="20"/>
          <w:szCs w:val="20"/>
          <w:lang w:val="nl-NL" w:eastAsia="x-none"/>
        </w:rPr>
      </w:pPr>
      <w:r w:rsidRPr="003C3BF2">
        <w:rPr>
          <w:rFonts w:ascii="Times New Roman" w:eastAsia="Times New Roman" w:hAnsi="Times New Roman" w:cs="Times New Roman"/>
          <w:sz w:val="20"/>
          <w:szCs w:val="20"/>
          <w:lang w:val="nl-NL" w:eastAsia="x-none"/>
        </w:rPr>
        <w:t>5)</w:t>
      </w:r>
      <w:r w:rsidR="00E765D5" w:rsidRPr="003C3BF2">
        <w:rPr>
          <w:lang w:val="nl-NL"/>
        </w:rPr>
        <w:t xml:space="preserve"> </w:t>
      </w:r>
      <w:r w:rsidR="00E765D5" w:rsidRPr="003C3BF2">
        <w:rPr>
          <w:rFonts w:ascii="Times New Roman" w:eastAsia="Times New Roman" w:hAnsi="Times New Roman" w:cs="Times New Roman"/>
          <w:sz w:val="20"/>
          <w:szCs w:val="20"/>
          <w:lang w:val="nl-NL" w:eastAsia="x-none"/>
        </w:rPr>
        <w:t>ingediend door een bemanningslid van een Pools zeeschip bij de kapitein van het schip (art. 124).</w:t>
      </w:r>
    </w:p>
    <w:p w14:paraId="26561751" w14:textId="77777777" w:rsidR="00E765D5" w:rsidRPr="003C3BF2" w:rsidRDefault="00E765D5" w:rsidP="00E765D5">
      <w:pPr>
        <w:widowControl w:val="0"/>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360" w:lineRule="auto"/>
        <w:ind w:firstLine="482"/>
        <w:jc w:val="both"/>
        <w:rPr>
          <w:rFonts w:ascii="Times New Roman" w:hAnsi="Times New Roman" w:cs="Times New Roman"/>
          <w:i/>
          <w:iCs/>
          <w:sz w:val="18"/>
          <w:szCs w:val="18"/>
          <w:lang w:val="nl-NL" w:eastAsia="x-none"/>
        </w:rPr>
      </w:pPr>
    </w:p>
    <w:p w14:paraId="3EE18D5E" w14:textId="77777777" w:rsidR="00805C96" w:rsidRPr="003C3BF2"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nl-NL" w:eastAsia="x-none"/>
        </w:rPr>
      </w:pPr>
    </w:p>
    <w:p w14:paraId="6DF91A39" w14:textId="77777777" w:rsidR="00805C96" w:rsidRPr="003C3BF2"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nl-NL" w:eastAsia="x-none"/>
        </w:rPr>
      </w:pPr>
    </w:p>
    <w:p w14:paraId="086FFD10" w14:textId="77777777" w:rsidR="00805C96" w:rsidRPr="003C3BF2" w:rsidRDefault="00805C96" w:rsidP="00805C96">
      <w:pPr>
        <w:widowControl w:val="0"/>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ind w:left="360" w:hanging="360"/>
        <w:rPr>
          <w:rFonts w:ascii="Times New Roman" w:hAnsi="Times New Roman" w:cs="Times New Roman"/>
          <w:i/>
          <w:iCs/>
          <w:sz w:val="18"/>
          <w:szCs w:val="18"/>
          <w:lang w:val="nl-NL" w:eastAsia="x-none"/>
        </w:rPr>
      </w:pPr>
    </w:p>
    <w:p w14:paraId="30E3530F" w14:textId="30F23C6F" w:rsidR="005574BB" w:rsidRPr="003C3BF2" w:rsidRDefault="005574BB" w:rsidP="005574BB">
      <w:pPr>
        <w:numPr>
          <w:ilvl w:val="0"/>
          <w:numId w:val="3"/>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rFonts w:ascii="Times New Roman" w:hAnsi="Times New Roman" w:cs="Times New Roman"/>
          <w:sz w:val="12"/>
          <w:szCs w:val="12"/>
          <w:lang w:val="nl-NL" w:eastAsia="x-none"/>
        </w:rPr>
      </w:pPr>
      <w:r w:rsidRPr="003C3BF2">
        <w:rPr>
          <w:rFonts w:ascii="Times New Roman" w:hAnsi="Times New Roman" w:cs="Times New Roman"/>
          <w:sz w:val="12"/>
          <w:szCs w:val="12"/>
          <w:lang w:val="nl-NL" w:eastAsia="x-none"/>
        </w:rPr>
        <w:t>kies de juiste formulering;</w:t>
      </w:r>
    </w:p>
    <w:p w14:paraId="46F7D35A" w14:textId="09DD1328" w:rsidR="006A349A" w:rsidRPr="003C3BF2" w:rsidRDefault="005574BB" w:rsidP="005574BB">
      <w:pPr>
        <w:numPr>
          <w:ilvl w:val="0"/>
          <w:numId w:val="3"/>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val="0"/>
        <w:autoSpaceDN w:val="0"/>
        <w:adjustRightInd w:val="0"/>
        <w:spacing w:after="0" w:line="240" w:lineRule="auto"/>
        <w:jc w:val="both"/>
        <w:rPr>
          <w:lang w:val="nl-NL"/>
        </w:rPr>
      </w:pPr>
      <w:r w:rsidRPr="003C3BF2">
        <w:rPr>
          <w:rFonts w:ascii="Times New Roman" w:hAnsi="Times New Roman" w:cs="Times New Roman"/>
          <w:sz w:val="12"/>
          <w:szCs w:val="12"/>
          <w:lang w:val="nl-NL" w:eastAsia="x-none"/>
        </w:rPr>
        <w:t>de tussen haakjes vermelde bepalingen verwijzen naar de desbetreffende artikelen van de wet van 6 juni 1997 – Wetboek van Strafvordering (Staatsblad van 2018, nr. 1987, met latere wijzigingen).</w:t>
      </w:r>
    </w:p>
    <w:sectPr w:rsidR="006A349A" w:rsidRPr="003C3BF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F9210" w14:textId="77777777" w:rsidR="001D7BD9" w:rsidRDefault="001D7BD9" w:rsidP="001D7BD9">
      <w:pPr>
        <w:spacing w:after="0" w:line="240" w:lineRule="auto"/>
      </w:pPr>
      <w:r>
        <w:separator/>
      </w:r>
    </w:p>
  </w:endnote>
  <w:endnote w:type="continuationSeparator" w:id="0">
    <w:p w14:paraId="5A10AA63" w14:textId="77777777" w:rsidR="001D7BD9" w:rsidRDefault="001D7BD9" w:rsidP="001D7B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A4BB4" w14:textId="77777777" w:rsidR="001D7BD9" w:rsidRDefault="001D7BD9" w:rsidP="001D7BD9">
      <w:pPr>
        <w:spacing w:after="0" w:line="240" w:lineRule="auto"/>
      </w:pPr>
      <w:r>
        <w:separator/>
      </w:r>
    </w:p>
  </w:footnote>
  <w:footnote w:type="continuationSeparator" w:id="0">
    <w:p w14:paraId="3B9D3FC4" w14:textId="77777777" w:rsidR="001D7BD9" w:rsidRDefault="001D7BD9" w:rsidP="001D7B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1">
      <w:start w:val="1"/>
      <w:numFmt w:val="decimal"/>
      <w:lvlText w:val="%2)"/>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2">
      <w:start w:val="1"/>
      <w:numFmt w:val="decimal"/>
      <w:lvlText w:val="%3)"/>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3">
      <w:start w:val="1"/>
      <w:numFmt w:val="decimal"/>
      <w:lvlText w:val="%4)"/>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4">
      <w:start w:val="1"/>
      <w:numFmt w:val="decimal"/>
      <w:lvlText w:val="%5)"/>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5">
      <w:start w:val="1"/>
      <w:numFmt w:val="decimal"/>
      <w:lvlText w:val="%6)"/>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6">
      <w:start w:val="1"/>
      <w:numFmt w:val="decimal"/>
      <w:lvlText w:val="%7)"/>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7">
      <w:start w:val="1"/>
      <w:numFmt w:val="decimal"/>
      <w:lvlText w:val="%8)"/>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lvl w:ilvl="8">
      <w:start w:val="1"/>
      <w:numFmt w:val="decimal"/>
      <w:lvlText w:val="%9)"/>
      <w:lvlJc w:val="left"/>
      <w:pPr>
        <w:ind w:firstLine="480"/>
      </w:pPr>
      <w:rPr>
        <w:rFonts w:ascii="Times New Roman" w:hAnsi="Times New Roman" w:cs="Times New Roman"/>
        <w:b w:val="0"/>
        <w:bCs w:val="0"/>
        <w:i w:val="0"/>
        <w:iCs w:val="0"/>
        <w:caps w:val="0"/>
        <w:smallCaps w:val="0"/>
        <w:strike w:val="0"/>
        <w:color w:val="000000"/>
        <w:spacing w:val="0"/>
        <w:w w:val="100"/>
        <w:position w:val="0"/>
        <w:sz w:val="21"/>
        <w:szCs w:val="21"/>
        <w:u w:val="none"/>
        <w:vertAlign w:val="baseline"/>
      </w:rPr>
    </w:lvl>
  </w:abstractNum>
  <w:abstractNum w:abstractNumId="1" w15:restartNumberingAfterBreak="0">
    <w:nsid w:val="00000002"/>
    <w:multiLevelType w:val="multilevel"/>
    <w:tmpl w:val="00000002"/>
    <w:lvl w:ilvl="0">
      <w:start w:val="1"/>
      <w:numFmt w:val="decimal"/>
      <w:lvlText w:val="%1."/>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1">
      <w:start w:val="1"/>
      <w:numFmt w:val="decimal"/>
      <w:lvlText w:val="%2."/>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2">
      <w:start w:val="1"/>
      <w:numFmt w:val="decimal"/>
      <w:lvlText w:val="%3."/>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3">
      <w:start w:val="1"/>
      <w:numFmt w:val="decimal"/>
      <w:lvlText w:val="%4."/>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4">
      <w:start w:val="1"/>
      <w:numFmt w:val="decimal"/>
      <w:lvlText w:val="%5."/>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5">
      <w:start w:val="1"/>
      <w:numFmt w:val="decimal"/>
      <w:lvlText w:val="%6."/>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6">
      <w:start w:val="1"/>
      <w:numFmt w:val="decimal"/>
      <w:lvlText w:val="%7."/>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7">
      <w:start w:val="1"/>
      <w:numFmt w:val="decimal"/>
      <w:lvlText w:val="%8."/>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lvl w:ilvl="8">
      <w:start w:val="1"/>
      <w:numFmt w:val="decimal"/>
      <w:lvlText w:val="%9."/>
      <w:lvlJc w:val="left"/>
      <w:pPr>
        <w:ind w:firstLine="480"/>
      </w:pPr>
      <w:rPr>
        <w:rFonts w:ascii="Times New Roman" w:hAnsi="Times New Roman" w:cs="Times New Roman"/>
        <w:b w:val="0"/>
        <w:bCs w:val="0"/>
        <w:i w:val="0"/>
        <w:iCs w:val="0"/>
        <w:caps w:val="0"/>
        <w:smallCaps w:val="0"/>
        <w:strike w:val="0"/>
        <w:color w:val="auto"/>
        <w:spacing w:val="0"/>
        <w:w w:val="100"/>
        <w:position w:val="0"/>
        <w:sz w:val="21"/>
        <w:szCs w:val="21"/>
        <w:u w:val="none"/>
        <w:vertAlign w:val="baseline"/>
      </w:rPr>
    </w:lvl>
  </w:abstractNum>
  <w:abstractNum w:abstractNumId="2" w15:restartNumberingAfterBreak="0">
    <w:nsid w:val="00000003"/>
    <w:multiLevelType w:val="multilevel"/>
    <w:tmpl w:val="00000003"/>
    <w:lvl w:ilvl="0">
      <w:start w:val="1"/>
      <w:numFmt w:val="decimal"/>
      <w:lvlText w:val="%1)"/>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1">
      <w:start w:val="1"/>
      <w:numFmt w:val="decimal"/>
      <w:lvlText w:val="%2)"/>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2">
      <w:start w:val="1"/>
      <w:numFmt w:val="decimal"/>
      <w:lvlText w:val="%3)"/>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3">
      <w:start w:val="1"/>
      <w:numFmt w:val="decimal"/>
      <w:lvlText w:val="%4)"/>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4">
      <w:start w:val="1"/>
      <w:numFmt w:val="decimal"/>
      <w:lvlText w:val="%5)"/>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5">
      <w:start w:val="1"/>
      <w:numFmt w:val="decimal"/>
      <w:lvlText w:val="%6)"/>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6">
      <w:start w:val="1"/>
      <w:numFmt w:val="decimal"/>
      <w:lvlText w:val="%7)"/>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7">
      <w:start w:val="1"/>
      <w:numFmt w:val="decimal"/>
      <w:lvlText w:val="%8)"/>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lvl w:ilvl="8">
      <w:start w:val="1"/>
      <w:numFmt w:val="decimal"/>
      <w:lvlText w:val="%9)"/>
      <w:lvlJc w:val="left"/>
      <w:rPr>
        <w:rFonts w:ascii="Times New Roman" w:hAnsi="Times New Roman" w:cs="Times New Roman"/>
        <w:b w:val="0"/>
        <w:bCs w:val="0"/>
        <w:i w:val="0"/>
        <w:iCs w:val="0"/>
        <w:caps w:val="0"/>
        <w:smallCaps w:val="0"/>
        <w:strike w:val="0"/>
        <w:color w:val="auto"/>
        <w:spacing w:val="0"/>
        <w:w w:val="100"/>
        <w:position w:val="0"/>
        <w:sz w:val="12"/>
        <w:szCs w:val="12"/>
        <w:u w:val="none"/>
        <w:vertAlign w:val="baseline"/>
      </w:rPr>
    </w:lvl>
  </w:abstractNum>
  <w:num w:numId="1" w16cid:durableId="358554906">
    <w:abstractNumId w:val="0"/>
  </w:num>
  <w:num w:numId="2" w16cid:durableId="957181477">
    <w:abstractNumId w:val="1"/>
  </w:num>
  <w:num w:numId="3" w16cid:durableId="12634950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7A41"/>
    <w:rsid w:val="0012264C"/>
    <w:rsid w:val="001467A4"/>
    <w:rsid w:val="00177175"/>
    <w:rsid w:val="001D7BD9"/>
    <w:rsid w:val="001E1103"/>
    <w:rsid w:val="0022441D"/>
    <w:rsid w:val="0028476C"/>
    <w:rsid w:val="003C3BF2"/>
    <w:rsid w:val="00486138"/>
    <w:rsid w:val="005574BB"/>
    <w:rsid w:val="005C06E9"/>
    <w:rsid w:val="005D44B4"/>
    <w:rsid w:val="006164A0"/>
    <w:rsid w:val="00616FA7"/>
    <w:rsid w:val="006A349A"/>
    <w:rsid w:val="00737A41"/>
    <w:rsid w:val="00805C96"/>
    <w:rsid w:val="00885058"/>
    <w:rsid w:val="008D2AC8"/>
    <w:rsid w:val="00965082"/>
    <w:rsid w:val="00971297"/>
    <w:rsid w:val="00A20CC2"/>
    <w:rsid w:val="00DF249F"/>
    <w:rsid w:val="00DF76AF"/>
    <w:rsid w:val="00E707EC"/>
    <w:rsid w:val="00E765D5"/>
    <w:rsid w:val="00E86B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186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D7BD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D7BD9"/>
  </w:style>
  <w:style w:type="paragraph" w:styleId="Stopka">
    <w:name w:val="footer"/>
    <w:basedOn w:val="Normalny"/>
    <w:link w:val="StopkaZnak"/>
    <w:uiPriority w:val="99"/>
    <w:unhideWhenUsed/>
    <w:rsid w:val="001D7BD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D7B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1248</Words>
  <Characters>6505</Characters>
  <Application>Microsoft Office Word</Application>
  <DocSecurity>0</DocSecurity>
  <Lines>91</Lines>
  <Paragraphs>26</Paragraphs>
  <ScaleCrop>false</ScaleCrop>
  <Company/>
  <LinksUpToDate>false</LinksUpToDate>
  <CharactersWithSpaces>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2026-03-19T12:53:00Z</dcterms:created>
  <dcterms:modified xsi:type="dcterms:W3CDTF">2026-03-19T12:53:00Z</dcterms:modified>
</cp:coreProperties>
</file>